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default" w:ascii="Times New Roman" w:hAnsi="Times New Roman" w:cs="Times New Roman"/>
          <w:color w:val="000000"/>
          <w:sz w:val="28"/>
          <w:szCs w:val="28"/>
        </w:rPr>
        <w:t>【</w:t>
      </w:r>
      <w:r>
        <w:rPr>
          <w:rFonts w:hint="eastAsia" w:ascii="Times New Roman" w:hAnsi="Times New Roman" w:cs="Times New Roman"/>
          <w:color w:val="000000"/>
          <w:sz w:val="28"/>
          <w:szCs w:val="28"/>
          <w:lang w:eastAsia="zh-CN"/>
        </w:rPr>
        <w:t>人保寿险</w:t>
      </w:r>
      <w:bookmarkStart w:id="0" w:name="_GoBack"/>
      <w:bookmarkEnd w:id="0"/>
      <w:r>
        <w:rPr>
          <w:rFonts w:hint="default" w:ascii="Times New Roman" w:hAnsi="Times New Roman" w:cs="Times New Roman"/>
          <w:color w:val="000000"/>
          <w:sz w:val="28"/>
          <w:szCs w:val="28"/>
        </w:rPr>
        <w:t>信息披露】</w:t>
      </w:r>
    </w:p>
    <w:tbl>
      <w:tblPr>
        <w:tblStyle w:val="4"/>
        <w:tblW w:w="8489" w:type="dxa"/>
        <w:tblCellSpacing w:w="0" w:type="dxa"/>
        <w:tblInd w:w="5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95"/>
        <w:gridCol w:w="599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0" w:type="dxa"/>
        </w:trPr>
        <w:tc>
          <w:tcPr>
            <w:tcW w:w="2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保险公司全称</w:t>
            </w:r>
          </w:p>
        </w:tc>
        <w:tc>
          <w:tcPr>
            <w:tcW w:w="5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中国人民人寿保险股份有限公司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0" w:type="dxa"/>
        </w:trPr>
        <w:tc>
          <w:tcPr>
            <w:tcW w:w="2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业务合作范围</w:t>
            </w:r>
          </w:p>
        </w:tc>
        <w:tc>
          <w:tcPr>
            <w:tcW w:w="5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人寿保险、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年金保险、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健康保险和意外伤害保险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0" w:type="dxa"/>
        </w:trPr>
        <w:tc>
          <w:tcPr>
            <w:tcW w:w="2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合作起止时间</w:t>
            </w:r>
          </w:p>
        </w:tc>
        <w:tc>
          <w:tcPr>
            <w:tcW w:w="5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24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15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日至长期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0" w:type="dxa"/>
        </w:trPr>
        <w:tc>
          <w:tcPr>
            <w:tcW w:w="2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客服电话</w:t>
            </w:r>
          </w:p>
        </w:tc>
        <w:tc>
          <w:tcPr>
            <w:tcW w:w="5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95518转寿险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0" w:type="dxa"/>
        </w:trPr>
        <w:tc>
          <w:tcPr>
            <w:tcW w:w="2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官方网站</w:t>
            </w:r>
          </w:p>
        </w:tc>
        <w:tc>
          <w:tcPr>
            <w:tcW w:w="5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</w:pPr>
            <w:r>
              <w:rPr>
                <w:rFonts w:hint="eastAsia" w:ascii="宋体" w:hAnsi="宋体" w:eastAsia="宋体" w:cs="宋体"/>
                <w:color w:val="0000FF"/>
                <w:sz w:val="24"/>
                <w:szCs w:val="24"/>
                <w:u w:val="single"/>
                <w:lang w:val="en-US" w:eastAsia="zh-CN"/>
              </w:rPr>
              <w:t>www.picclife.com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0" w:type="dxa"/>
        </w:trPr>
        <w:tc>
          <w:tcPr>
            <w:tcW w:w="2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监管评价信息</w:t>
            </w:r>
          </w:p>
        </w:tc>
        <w:tc>
          <w:tcPr>
            <w:tcW w:w="5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</w:pPr>
            <w:r>
              <w:rPr>
                <w:rFonts w:hint="eastAsia" w:ascii="宋体" w:hAnsi="宋体" w:eastAsia="宋体" w:cs="宋体"/>
                <w:color w:val="0000FF"/>
                <w:sz w:val="24"/>
                <w:szCs w:val="24"/>
                <w:u w:val="single"/>
              </w:rPr>
              <w:t>https://www.picclife.com/picclifewebsite/webfile//cfnljdbgzy/index.html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详见“偿付能力”—“偿付能力报告摘要”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0" w:type="dxa"/>
        </w:trPr>
        <w:tc>
          <w:tcPr>
            <w:tcW w:w="2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全国统一客户投诉方式</w:t>
            </w:r>
          </w:p>
        </w:tc>
        <w:tc>
          <w:tcPr>
            <w:tcW w:w="5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全国统一客户投诉方式：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我公司全国统一的客户服务及投诉方式：致电“中国人民保险客服热线：95518转寿险”、登录您的客户服务端（人保寿险E服务、人保寿险管家APP）、公司官网（网址：</w:t>
            </w:r>
            <w:r>
              <w:rPr>
                <w:rFonts w:hint="eastAsia" w:ascii="宋体" w:hAnsi="宋体" w:eastAsia="宋体" w:cs="宋体"/>
                <w:color w:val="0000FF"/>
                <w:sz w:val="24"/>
                <w:szCs w:val="24"/>
                <w:u w:val="single"/>
              </w:rPr>
              <w:t>www.picclife.com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）或中国人民保险集团官网（网址：</w:t>
            </w:r>
            <w:r>
              <w:rPr>
                <w:rFonts w:hint="eastAsia" w:ascii="宋体" w:hAnsi="宋体" w:eastAsia="宋体" w:cs="宋体"/>
                <w:color w:val="0000FF"/>
                <w:sz w:val="24"/>
                <w:szCs w:val="24"/>
                <w:u w:val="single"/>
              </w:rPr>
              <w:t>www.picc.com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理赔争议处理机制：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为充分维护客户合法权益，我公司收到理赔争议案件申请后，将指定与争议事项无直接利益关系的人员核实争议内容，及时与申请人沟通，积极主动通过协商方式解决客户的问题。争议案件处理过程中，我公司将遵循《银行业保险业消费投诉处理管理办法》等相关法律法规要求及合同约定，公平公正作出处理决定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0" w:type="dxa"/>
        </w:trPr>
        <w:tc>
          <w:tcPr>
            <w:tcW w:w="2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保险公司省级分支机构和落地服务机构的省(自治区、直辖市、计划单列市)清单</w:t>
            </w:r>
          </w:p>
        </w:tc>
        <w:tc>
          <w:tcPr>
            <w:tcW w:w="5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</w:pPr>
            <w:r>
              <w:rPr>
                <w:rFonts w:hint="eastAsia" w:ascii="宋体" w:hAnsi="宋体" w:eastAsia="宋体" w:cs="宋体"/>
                <w:color w:val="0000FF"/>
                <w:sz w:val="24"/>
                <w:szCs w:val="24"/>
                <w:u w:val="single"/>
              </w:rPr>
              <w:t>https://www.picclife.com/picclifewebsite/picclife/channel/branch_1200.html?id=8a07e6956bfeb676016c19014cf902d4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0MjJkN2JkMDRjNDBlZDFlOGIwMDQ1OThmYWUzN2IifQ=="/>
  </w:docVars>
  <w:rsids>
    <w:rsidRoot w:val="07A875EC"/>
    <w:rsid w:val="06587842"/>
    <w:rsid w:val="07A875EC"/>
    <w:rsid w:val="755D3AA7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Office_10.8.0.5988_F1E327BC-269C-435d-A152-05C5408002CA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2024-04-24T06:45:00Z</dcterms:created>
  <dc:creator>WPS_1481514958</dc:creator>
  <cp:lastModifiedBy>王敏</cp:lastModifiedBy>
  <dcterms:modified xsi:type="dcterms:W3CDTF">2024-05-10T02:59:31Z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2052-10.8.0.5988</vt:lpwstr>
  </property>
  <property fmtid="{D5CDD505-2E9C-101B-9397-08002B2CF9AE}" pid="3" name="ICV">
    <vt:lpwstr>0902628E38F647CE9B7BE4A5D7B55550_11</vt:lpwstr>
  </property>
</Properties>
</file>